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41BB" w14:textId="0C82CEE8" w:rsidR="00F3715E" w:rsidRPr="00BB2EC6" w:rsidRDefault="00F3715E" w:rsidP="00F3715E">
      <w:pPr>
        <w:pStyle w:val="Title"/>
        <w:spacing w:before="240" w:after="240"/>
        <w:jc w:val="left"/>
        <w:rPr>
          <w:lang w:val="fr-CA"/>
        </w:rPr>
      </w:pPr>
      <w:r>
        <w:rPr>
          <w:noProof/>
        </w:rPr>
        <w:drawing>
          <wp:inline distT="0" distB="0" distL="0" distR="0" wp14:anchorId="779E2451" wp14:editId="08E43E00">
            <wp:extent cx="3600450" cy="447675"/>
            <wp:effectExtent l="0" t="0" r="0" b="9525"/>
            <wp:docPr id="2" name="Picture 2" descr="Tribunals Ontario&#10;Tribunaux décisionnels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s Ontario&#10;Tribunaux décisionnels Ontari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00450" cy="447675"/>
                    </a:xfrm>
                    <a:prstGeom prst="rect">
                      <a:avLst/>
                    </a:prstGeom>
                    <a:noFill/>
                    <a:ln>
                      <a:noFill/>
                    </a:ln>
                  </pic:spPr>
                </pic:pic>
              </a:graphicData>
            </a:graphic>
          </wp:inline>
        </w:drawing>
      </w:r>
    </w:p>
    <w:p w14:paraId="1B15731F" w14:textId="1586911A" w:rsidR="00F3715E" w:rsidRDefault="00974A4C" w:rsidP="001E0065">
      <w:pPr>
        <w:pStyle w:val="Title"/>
        <w:spacing w:before="240" w:after="240"/>
        <w:jc w:val="left"/>
        <w:rPr>
          <w:lang w:val="fr-CA"/>
        </w:rPr>
      </w:pPr>
      <w:r w:rsidRPr="00BB2EC6">
        <w:rPr>
          <w:lang w:val="fr-CA"/>
        </w:rPr>
        <w:t xml:space="preserve">Assessment Review </w:t>
      </w:r>
      <w:proofErr w:type="spellStart"/>
      <w:r w:rsidRPr="00BB2EC6">
        <w:rPr>
          <w:lang w:val="fr-CA"/>
        </w:rPr>
        <w:t>Board</w:t>
      </w:r>
      <w:proofErr w:type="spellEnd"/>
    </w:p>
    <w:p w14:paraId="667955CE" w14:textId="77777777" w:rsidR="00BB2EC6" w:rsidRPr="00BB2EC6" w:rsidRDefault="00BB2EC6" w:rsidP="00BB2EC6">
      <w:pPr>
        <w:rPr>
          <w:lang w:val="fr-CA"/>
        </w:rPr>
      </w:pPr>
    </w:p>
    <w:p w14:paraId="55AD6EC9" w14:textId="11485F71" w:rsidR="00974A4C" w:rsidRDefault="00974A4C" w:rsidP="00827499">
      <w:pPr>
        <w:pStyle w:val="Heading1"/>
        <w:jc w:val="center"/>
        <w:rPr>
          <w:sz w:val="28"/>
          <w:szCs w:val="28"/>
        </w:rPr>
      </w:pPr>
      <w:r w:rsidRPr="00827499">
        <w:rPr>
          <w:sz w:val="28"/>
          <w:szCs w:val="28"/>
        </w:rPr>
        <w:t>Practice Direction</w:t>
      </w:r>
      <w:r w:rsidR="00F3715E" w:rsidRPr="00827499">
        <w:rPr>
          <w:sz w:val="28"/>
          <w:szCs w:val="28"/>
        </w:rPr>
        <w:t xml:space="preserve"> on </w:t>
      </w:r>
      <w:r w:rsidR="001E0065" w:rsidRPr="00827499">
        <w:rPr>
          <w:sz w:val="28"/>
          <w:szCs w:val="28"/>
        </w:rPr>
        <w:t>Combined Proceedings</w:t>
      </w:r>
    </w:p>
    <w:p w14:paraId="20823EA1" w14:textId="13CA613B" w:rsidR="00827499" w:rsidRPr="00827499" w:rsidRDefault="00827499" w:rsidP="00827499">
      <w:pPr>
        <w:jc w:val="center"/>
        <w:rPr>
          <w:rFonts w:ascii="Arial" w:hAnsi="Arial" w:cs="Arial"/>
        </w:rPr>
      </w:pPr>
      <w:r>
        <w:rPr>
          <w:rFonts w:ascii="Arial" w:hAnsi="Arial" w:cs="Arial"/>
        </w:rPr>
        <w:t xml:space="preserve">(Disponible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français</w:t>
      </w:r>
      <w:proofErr w:type="spellEnd"/>
      <w:r>
        <w:rPr>
          <w:rFonts w:ascii="Arial" w:hAnsi="Arial" w:cs="Arial"/>
        </w:rPr>
        <w:t>)</w:t>
      </w:r>
    </w:p>
    <w:p w14:paraId="3BFB3F98" w14:textId="61C27D38" w:rsidR="00974A4C" w:rsidRDefault="00A101B8" w:rsidP="00F3715E">
      <w:pPr>
        <w:pStyle w:val="Title"/>
        <w:spacing w:before="240" w:after="240"/>
        <w:jc w:val="left"/>
      </w:pPr>
      <w:r>
        <w:t xml:space="preserve">Effective </w:t>
      </w:r>
      <w:r w:rsidR="00051104">
        <w:t xml:space="preserve">April 1, </w:t>
      </w:r>
      <w:r w:rsidR="00F3715E">
        <w:t>202</w:t>
      </w:r>
      <w:r w:rsidR="00A05DE7">
        <w:t>1</w:t>
      </w:r>
    </w:p>
    <w:p w14:paraId="6C66AF48" w14:textId="77777777" w:rsidR="001E0065" w:rsidRDefault="001E0065" w:rsidP="001E0065">
      <w:pPr>
        <w:rPr>
          <w:rFonts w:ascii="Arial" w:hAnsi="Arial" w:cs="Arial"/>
          <w:sz w:val="24"/>
          <w:szCs w:val="24"/>
        </w:rPr>
      </w:pPr>
      <w:r>
        <w:rPr>
          <w:rFonts w:ascii="Arial" w:hAnsi="Arial" w:cs="Arial"/>
          <w:sz w:val="24"/>
          <w:szCs w:val="24"/>
        </w:rPr>
        <w:t xml:space="preserve">There are situations in which the parties wish to have </w:t>
      </w:r>
      <w:proofErr w:type="gramStart"/>
      <w:r>
        <w:rPr>
          <w:rFonts w:ascii="Arial" w:hAnsi="Arial" w:cs="Arial"/>
          <w:sz w:val="24"/>
          <w:szCs w:val="24"/>
        </w:rPr>
        <w:t>a number of</w:t>
      </w:r>
      <w:proofErr w:type="gramEnd"/>
      <w:r>
        <w:rPr>
          <w:rFonts w:ascii="Arial" w:hAnsi="Arial" w:cs="Arial"/>
          <w:sz w:val="24"/>
          <w:szCs w:val="24"/>
        </w:rPr>
        <w:t xml:space="preserve"> appeals heard together. The Assessment Review Board’s (the ARB) </w:t>
      </w:r>
      <w:r w:rsidRPr="007F7887">
        <w:rPr>
          <w:rFonts w:ascii="Arial" w:hAnsi="Arial" w:cs="Arial"/>
          <w:sz w:val="24"/>
          <w:szCs w:val="24"/>
        </w:rPr>
        <w:t>Rules of Practice and Procedure</w:t>
      </w:r>
      <w:r>
        <w:rPr>
          <w:rFonts w:ascii="Arial" w:hAnsi="Arial" w:cs="Arial"/>
          <w:sz w:val="24"/>
          <w:szCs w:val="24"/>
        </w:rPr>
        <w:t xml:space="preserve"> set out the situations in which appeals may be combined or heard together. This practice direction sets out the process by which parties may request that appeals be heard together or combined.</w:t>
      </w:r>
    </w:p>
    <w:p w14:paraId="3A5F3CB1" w14:textId="6C6E0985" w:rsidR="001E0065" w:rsidRDefault="001E0065" w:rsidP="001E0065">
      <w:pPr>
        <w:rPr>
          <w:rFonts w:ascii="Arial" w:hAnsi="Arial" w:cs="Arial"/>
          <w:sz w:val="24"/>
          <w:szCs w:val="24"/>
        </w:rPr>
      </w:pPr>
      <w:r>
        <w:rPr>
          <w:rFonts w:ascii="Arial" w:hAnsi="Arial" w:cs="Arial"/>
          <w:sz w:val="24"/>
          <w:szCs w:val="24"/>
        </w:rPr>
        <w:t>Rule 85 sets out the three implications of having appeals combined and are outlined below:</w:t>
      </w:r>
    </w:p>
    <w:p w14:paraId="72A81C8D" w14:textId="77777777" w:rsidR="001E0065" w:rsidRDefault="001E0065" w:rsidP="001E0065">
      <w:pPr>
        <w:pStyle w:val="ListParagraph"/>
        <w:numPr>
          <w:ilvl w:val="0"/>
          <w:numId w:val="7"/>
        </w:numPr>
        <w:rPr>
          <w:rFonts w:ascii="Arial" w:hAnsi="Arial" w:cs="Arial"/>
          <w:sz w:val="24"/>
          <w:szCs w:val="24"/>
        </w:rPr>
      </w:pPr>
      <w:r>
        <w:rPr>
          <w:rFonts w:ascii="Arial" w:hAnsi="Arial" w:cs="Arial"/>
          <w:sz w:val="24"/>
          <w:szCs w:val="24"/>
        </w:rPr>
        <w:t>D</w:t>
      </w:r>
      <w:r w:rsidRPr="007F7887">
        <w:rPr>
          <w:rFonts w:ascii="Arial" w:hAnsi="Arial" w:cs="Arial"/>
          <w:sz w:val="24"/>
          <w:szCs w:val="24"/>
        </w:rPr>
        <w:t xml:space="preserve">eadlines set for the procedural steps in the schedule of events, applies to each appeal. </w:t>
      </w:r>
    </w:p>
    <w:p w14:paraId="365C4DA7" w14:textId="77777777" w:rsidR="001E0065" w:rsidRDefault="001E0065" w:rsidP="001E0065">
      <w:pPr>
        <w:pStyle w:val="ListParagraph"/>
        <w:numPr>
          <w:ilvl w:val="0"/>
          <w:numId w:val="7"/>
        </w:numPr>
        <w:rPr>
          <w:rFonts w:ascii="Arial" w:hAnsi="Arial" w:cs="Arial"/>
          <w:sz w:val="24"/>
          <w:szCs w:val="24"/>
        </w:rPr>
      </w:pPr>
      <w:r>
        <w:rPr>
          <w:rFonts w:ascii="Arial" w:hAnsi="Arial" w:cs="Arial"/>
          <w:sz w:val="24"/>
          <w:szCs w:val="24"/>
        </w:rPr>
        <w:t>T</w:t>
      </w:r>
      <w:r w:rsidRPr="007F7887">
        <w:rPr>
          <w:rFonts w:ascii="Arial" w:hAnsi="Arial" w:cs="Arial"/>
          <w:sz w:val="24"/>
          <w:szCs w:val="24"/>
        </w:rPr>
        <w:t>he parties to each appeal all become parties to the combined appeal.</w:t>
      </w:r>
    </w:p>
    <w:p w14:paraId="0E1BC009" w14:textId="77777777" w:rsidR="001E0065" w:rsidRPr="007F7887" w:rsidRDefault="001E0065" w:rsidP="001E0065">
      <w:pPr>
        <w:pStyle w:val="ListParagraph"/>
        <w:numPr>
          <w:ilvl w:val="0"/>
          <w:numId w:val="7"/>
        </w:numPr>
        <w:rPr>
          <w:rFonts w:ascii="Arial" w:hAnsi="Arial" w:cs="Arial"/>
          <w:sz w:val="24"/>
          <w:szCs w:val="24"/>
        </w:rPr>
      </w:pPr>
      <w:r>
        <w:rPr>
          <w:rFonts w:ascii="Arial" w:hAnsi="Arial" w:cs="Arial"/>
          <w:sz w:val="24"/>
          <w:szCs w:val="24"/>
        </w:rPr>
        <w:t>T</w:t>
      </w:r>
      <w:r w:rsidRPr="007F7887">
        <w:rPr>
          <w:rFonts w:ascii="Arial" w:hAnsi="Arial" w:cs="Arial"/>
          <w:sz w:val="24"/>
          <w:szCs w:val="24"/>
        </w:rPr>
        <w:t xml:space="preserve">he evidence presented in the combined appeal applies to </w:t>
      </w:r>
      <w:proofErr w:type="gramStart"/>
      <w:r w:rsidRPr="007F7887">
        <w:rPr>
          <w:rFonts w:ascii="Arial" w:hAnsi="Arial" w:cs="Arial"/>
          <w:sz w:val="24"/>
          <w:szCs w:val="24"/>
        </w:rPr>
        <w:t>all of</w:t>
      </w:r>
      <w:proofErr w:type="gramEnd"/>
      <w:r w:rsidRPr="007F7887">
        <w:rPr>
          <w:rFonts w:ascii="Arial" w:hAnsi="Arial" w:cs="Arial"/>
          <w:sz w:val="24"/>
          <w:szCs w:val="24"/>
        </w:rPr>
        <w:t xml:space="preserve"> the appeals.</w:t>
      </w:r>
    </w:p>
    <w:p w14:paraId="59A2CDDE" w14:textId="77777777" w:rsidR="001E0065" w:rsidRDefault="001E0065" w:rsidP="001E0065">
      <w:pPr>
        <w:rPr>
          <w:rFonts w:ascii="Arial" w:hAnsi="Arial" w:cs="Arial"/>
          <w:sz w:val="24"/>
          <w:szCs w:val="24"/>
        </w:rPr>
      </w:pPr>
      <w:r>
        <w:rPr>
          <w:rFonts w:ascii="Arial" w:hAnsi="Arial" w:cs="Arial"/>
          <w:sz w:val="24"/>
          <w:szCs w:val="24"/>
        </w:rPr>
        <w:t>The Board may only combine proceedings with the consent of all parties.</w:t>
      </w:r>
    </w:p>
    <w:p w14:paraId="55C0AB1E" w14:textId="54701B3E" w:rsidR="001E0065" w:rsidRDefault="001E0065" w:rsidP="001E0065">
      <w:pPr>
        <w:rPr>
          <w:rFonts w:ascii="Arial" w:hAnsi="Arial" w:cs="Arial"/>
          <w:sz w:val="24"/>
          <w:szCs w:val="24"/>
        </w:rPr>
      </w:pPr>
      <w:r>
        <w:rPr>
          <w:rFonts w:ascii="Arial" w:hAnsi="Arial" w:cs="Arial"/>
          <w:sz w:val="24"/>
          <w:szCs w:val="24"/>
        </w:rPr>
        <w:t>If the parties to a group of appeals all agree that those appeals should be combined, they must request a combined proceeding in writing, setting out the:</w:t>
      </w:r>
    </w:p>
    <w:p w14:paraId="5B718633" w14:textId="77777777" w:rsidR="001E0065" w:rsidRPr="00DF1F8A" w:rsidRDefault="001E0065" w:rsidP="001E0065">
      <w:pPr>
        <w:pStyle w:val="ListParagraph"/>
        <w:numPr>
          <w:ilvl w:val="0"/>
          <w:numId w:val="6"/>
        </w:numPr>
        <w:rPr>
          <w:rFonts w:ascii="Arial" w:hAnsi="Arial" w:cs="Arial"/>
          <w:sz w:val="24"/>
          <w:szCs w:val="24"/>
        </w:rPr>
      </w:pPr>
      <w:r w:rsidRPr="00DF1F8A">
        <w:rPr>
          <w:rFonts w:ascii="Arial" w:hAnsi="Arial" w:cs="Arial"/>
          <w:sz w:val="24"/>
          <w:szCs w:val="24"/>
        </w:rPr>
        <w:t xml:space="preserve">appeals to </w:t>
      </w:r>
      <w:r>
        <w:rPr>
          <w:rFonts w:ascii="Arial" w:hAnsi="Arial" w:cs="Arial"/>
          <w:sz w:val="24"/>
          <w:szCs w:val="24"/>
        </w:rPr>
        <w:t xml:space="preserve">be </w:t>
      </w:r>
      <w:proofErr w:type="gramStart"/>
      <w:r w:rsidRPr="00DF1F8A">
        <w:rPr>
          <w:rFonts w:ascii="Arial" w:hAnsi="Arial" w:cs="Arial"/>
          <w:sz w:val="24"/>
          <w:szCs w:val="24"/>
        </w:rPr>
        <w:t>combined;</w:t>
      </w:r>
      <w:proofErr w:type="gramEnd"/>
    </w:p>
    <w:p w14:paraId="2D362660" w14:textId="77777777" w:rsidR="001E0065" w:rsidRPr="00DF1F8A" w:rsidRDefault="001E0065" w:rsidP="001E0065">
      <w:pPr>
        <w:pStyle w:val="ListParagraph"/>
        <w:numPr>
          <w:ilvl w:val="0"/>
          <w:numId w:val="6"/>
        </w:numPr>
        <w:rPr>
          <w:rFonts w:ascii="Arial" w:hAnsi="Arial" w:cs="Arial"/>
          <w:sz w:val="24"/>
          <w:szCs w:val="24"/>
        </w:rPr>
      </w:pPr>
      <w:r w:rsidRPr="00DF1F8A">
        <w:rPr>
          <w:rFonts w:ascii="Arial" w:hAnsi="Arial" w:cs="Arial"/>
          <w:sz w:val="24"/>
          <w:szCs w:val="24"/>
        </w:rPr>
        <w:t xml:space="preserve">questions of fact, </w:t>
      </w:r>
      <w:proofErr w:type="gramStart"/>
      <w:r w:rsidRPr="00DF1F8A">
        <w:rPr>
          <w:rFonts w:ascii="Arial" w:hAnsi="Arial" w:cs="Arial"/>
          <w:sz w:val="24"/>
          <w:szCs w:val="24"/>
        </w:rPr>
        <w:t>law</w:t>
      </w:r>
      <w:proofErr w:type="gramEnd"/>
      <w:r w:rsidRPr="00DF1F8A">
        <w:rPr>
          <w:rFonts w:ascii="Arial" w:hAnsi="Arial" w:cs="Arial"/>
          <w:sz w:val="24"/>
          <w:szCs w:val="24"/>
        </w:rPr>
        <w:t xml:space="preserve"> or policy, common to the appeals; and </w:t>
      </w:r>
    </w:p>
    <w:p w14:paraId="116AEE2B" w14:textId="77777777" w:rsidR="001E0065" w:rsidRPr="00DF1F8A" w:rsidRDefault="001E0065" w:rsidP="001E0065">
      <w:pPr>
        <w:pStyle w:val="ListParagraph"/>
        <w:numPr>
          <w:ilvl w:val="0"/>
          <w:numId w:val="6"/>
        </w:numPr>
        <w:rPr>
          <w:rFonts w:ascii="Arial" w:hAnsi="Arial" w:cs="Arial"/>
          <w:sz w:val="24"/>
          <w:szCs w:val="24"/>
        </w:rPr>
      </w:pPr>
      <w:r w:rsidRPr="00DF1F8A">
        <w:rPr>
          <w:rFonts w:ascii="Arial" w:hAnsi="Arial" w:cs="Arial"/>
          <w:sz w:val="24"/>
          <w:szCs w:val="24"/>
        </w:rPr>
        <w:t>written consent of all parties to the appeals.</w:t>
      </w:r>
    </w:p>
    <w:p w14:paraId="4E3FB16D" w14:textId="77777777" w:rsidR="001E0065" w:rsidRPr="00281860" w:rsidRDefault="001E0065" w:rsidP="001E0065">
      <w:pPr>
        <w:rPr>
          <w:rFonts w:ascii="Arial" w:hAnsi="Arial" w:cs="Arial"/>
          <w:sz w:val="24"/>
          <w:szCs w:val="24"/>
        </w:rPr>
      </w:pPr>
      <w:r>
        <w:rPr>
          <w:rFonts w:ascii="Arial" w:hAnsi="Arial" w:cs="Arial"/>
          <w:sz w:val="24"/>
          <w:szCs w:val="24"/>
        </w:rPr>
        <w:t xml:space="preserve">The request must be sent to the Board by way of an Expedited Board Directions Form to </w:t>
      </w:r>
      <w:hyperlink r:id="rId9" w:history="1">
        <w:r w:rsidRPr="000855D2">
          <w:rPr>
            <w:rStyle w:val="Hyperlink"/>
            <w:rFonts w:ascii="Arial" w:hAnsi="Arial" w:cs="Arial"/>
            <w:sz w:val="24"/>
            <w:szCs w:val="24"/>
          </w:rPr>
          <w:t>ARB.Registrar@ontario.ca</w:t>
        </w:r>
      </w:hyperlink>
      <w:r>
        <w:rPr>
          <w:rFonts w:ascii="Arial" w:hAnsi="Arial" w:cs="Arial"/>
          <w:sz w:val="24"/>
          <w:szCs w:val="24"/>
        </w:rPr>
        <w:t xml:space="preserve">  Reasons will be provided for any denied requests to combine proceedings.</w:t>
      </w:r>
    </w:p>
    <w:p w14:paraId="7D4AB38B" w14:textId="77777777" w:rsidR="001E0065" w:rsidRPr="001E0065" w:rsidRDefault="001E0065" w:rsidP="001E0065">
      <w:pPr>
        <w:rPr>
          <w:lang w:val="en"/>
        </w:rPr>
      </w:pPr>
    </w:p>
    <w:sectPr w:rsidR="001E0065" w:rsidRPr="001E00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8ED4" w14:textId="77777777" w:rsidR="00120745" w:rsidRDefault="00120745" w:rsidP="00760D43">
      <w:pPr>
        <w:spacing w:after="0" w:line="240" w:lineRule="auto"/>
      </w:pPr>
      <w:r>
        <w:separator/>
      </w:r>
    </w:p>
  </w:endnote>
  <w:endnote w:type="continuationSeparator" w:id="0">
    <w:p w14:paraId="7CFE22A5" w14:textId="77777777" w:rsidR="00120745" w:rsidRDefault="00120745" w:rsidP="00760D43">
      <w:pPr>
        <w:spacing w:after="0" w:line="240" w:lineRule="auto"/>
      </w:pPr>
      <w:r>
        <w:continuationSeparator/>
      </w:r>
    </w:p>
  </w:endnote>
  <w:endnote w:type="continuationNotice" w:id="1">
    <w:p w14:paraId="30A6F0F8" w14:textId="77777777" w:rsidR="00120745" w:rsidRDefault="00120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565" w14:textId="77777777" w:rsidR="00A6147B" w:rsidRDefault="00A61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67006"/>
      <w:docPartObj>
        <w:docPartGallery w:val="Page Numbers (Bottom of Page)"/>
        <w:docPartUnique/>
      </w:docPartObj>
    </w:sdtPr>
    <w:sdtEndPr>
      <w:rPr>
        <w:rFonts w:ascii="Arial" w:hAnsi="Arial" w:cs="Arial"/>
        <w:noProof/>
      </w:rPr>
    </w:sdtEndPr>
    <w:sdtContent>
      <w:p w14:paraId="230AB71B" w14:textId="6610E5E4" w:rsidR="00192188" w:rsidRPr="00192188" w:rsidRDefault="00192188">
        <w:pPr>
          <w:pStyle w:val="Footer"/>
          <w:jc w:val="right"/>
          <w:rPr>
            <w:rFonts w:ascii="Arial" w:hAnsi="Arial" w:cs="Arial"/>
          </w:rPr>
        </w:pPr>
        <w:r w:rsidRPr="00192188">
          <w:rPr>
            <w:rFonts w:ascii="Arial" w:hAnsi="Arial" w:cs="Arial"/>
          </w:rPr>
          <w:fldChar w:fldCharType="begin"/>
        </w:r>
        <w:r w:rsidRPr="00192188">
          <w:rPr>
            <w:rFonts w:ascii="Arial" w:hAnsi="Arial" w:cs="Arial"/>
          </w:rPr>
          <w:instrText xml:space="preserve"> PAGE   \* MERGEFORMAT </w:instrText>
        </w:r>
        <w:r w:rsidRPr="00192188">
          <w:rPr>
            <w:rFonts w:ascii="Arial" w:hAnsi="Arial" w:cs="Arial"/>
          </w:rPr>
          <w:fldChar w:fldCharType="separate"/>
        </w:r>
        <w:r w:rsidR="00494715">
          <w:rPr>
            <w:rFonts w:ascii="Arial" w:hAnsi="Arial" w:cs="Arial"/>
            <w:noProof/>
          </w:rPr>
          <w:t>1</w:t>
        </w:r>
        <w:r w:rsidRPr="00192188">
          <w:rPr>
            <w:rFonts w:ascii="Arial" w:hAnsi="Arial" w:cs="Arial"/>
            <w:noProof/>
          </w:rPr>
          <w:fldChar w:fldCharType="end"/>
        </w:r>
      </w:p>
    </w:sdtContent>
  </w:sdt>
  <w:p w14:paraId="0C2E53F1" w14:textId="77777777" w:rsidR="00192188" w:rsidRDefault="00192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744F" w14:textId="77777777" w:rsidR="00A6147B" w:rsidRDefault="00A61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69C3" w14:textId="77777777" w:rsidR="00120745" w:rsidRDefault="00120745" w:rsidP="00760D43">
      <w:pPr>
        <w:spacing w:after="0" w:line="240" w:lineRule="auto"/>
      </w:pPr>
      <w:r>
        <w:separator/>
      </w:r>
    </w:p>
  </w:footnote>
  <w:footnote w:type="continuationSeparator" w:id="0">
    <w:p w14:paraId="5D871BF2" w14:textId="77777777" w:rsidR="00120745" w:rsidRDefault="00120745" w:rsidP="00760D43">
      <w:pPr>
        <w:spacing w:after="0" w:line="240" w:lineRule="auto"/>
      </w:pPr>
      <w:r>
        <w:continuationSeparator/>
      </w:r>
    </w:p>
  </w:footnote>
  <w:footnote w:type="continuationNotice" w:id="1">
    <w:p w14:paraId="1B0A5D01" w14:textId="77777777" w:rsidR="00120745" w:rsidRDefault="001207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10C0" w14:textId="77777777" w:rsidR="00A6147B" w:rsidRDefault="00A61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50C" w14:textId="77777777" w:rsidR="00A6147B" w:rsidRDefault="00A61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311" w14:textId="77777777" w:rsidR="00A6147B" w:rsidRDefault="00A61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493"/>
    <w:multiLevelType w:val="hybridMultilevel"/>
    <w:tmpl w:val="852C6DF8"/>
    <w:lvl w:ilvl="0" w:tplc="10090017">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 w15:restartNumberingAfterBreak="0">
    <w:nsid w:val="19C41E6B"/>
    <w:multiLevelType w:val="hybridMultilevel"/>
    <w:tmpl w:val="2B2CB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8C707E"/>
    <w:multiLevelType w:val="hybridMultilevel"/>
    <w:tmpl w:val="AF0861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C539DA"/>
    <w:multiLevelType w:val="hybridMultilevel"/>
    <w:tmpl w:val="E2A67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7043FCB"/>
    <w:multiLevelType w:val="hybridMultilevel"/>
    <w:tmpl w:val="3246F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8DE38E2"/>
    <w:multiLevelType w:val="hybridMultilevel"/>
    <w:tmpl w:val="0046F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E82125E"/>
    <w:multiLevelType w:val="hybridMultilevel"/>
    <w:tmpl w:val="849E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8E"/>
    <w:rsid w:val="00034438"/>
    <w:rsid w:val="000443A4"/>
    <w:rsid w:val="00051104"/>
    <w:rsid w:val="00054840"/>
    <w:rsid w:val="00081E5B"/>
    <w:rsid w:val="00120745"/>
    <w:rsid w:val="00134A19"/>
    <w:rsid w:val="00191CF1"/>
    <w:rsid w:val="00192188"/>
    <w:rsid w:val="001E0065"/>
    <w:rsid w:val="00202AE6"/>
    <w:rsid w:val="00274682"/>
    <w:rsid w:val="00296445"/>
    <w:rsid w:val="002976C5"/>
    <w:rsid w:val="002B6211"/>
    <w:rsid w:val="002E2C48"/>
    <w:rsid w:val="00354F77"/>
    <w:rsid w:val="00382BBB"/>
    <w:rsid w:val="00391818"/>
    <w:rsid w:val="00427DD4"/>
    <w:rsid w:val="00494715"/>
    <w:rsid w:val="004E32E0"/>
    <w:rsid w:val="00574F90"/>
    <w:rsid w:val="005E713E"/>
    <w:rsid w:val="006662E7"/>
    <w:rsid w:val="00686DCF"/>
    <w:rsid w:val="0072693B"/>
    <w:rsid w:val="007418A4"/>
    <w:rsid w:val="00760D43"/>
    <w:rsid w:val="007D343F"/>
    <w:rsid w:val="00827499"/>
    <w:rsid w:val="0083266F"/>
    <w:rsid w:val="00895C5D"/>
    <w:rsid w:val="008A398C"/>
    <w:rsid w:val="008E1AF0"/>
    <w:rsid w:val="008F3876"/>
    <w:rsid w:val="00916E18"/>
    <w:rsid w:val="00955827"/>
    <w:rsid w:val="00974A4C"/>
    <w:rsid w:val="009A31C9"/>
    <w:rsid w:val="009B7D6C"/>
    <w:rsid w:val="009E47AE"/>
    <w:rsid w:val="00A05DE7"/>
    <w:rsid w:val="00A101B8"/>
    <w:rsid w:val="00A6147B"/>
    <w:rsid w:val="00AC276E"/>
    <w:rsid w:val="00B13C38"/>
    <w:rsid w:val="00B64403"/>
    <w:rsid w:val="00B81458"/>
    <w:rsid w:val="00BB2EC6"/>
    <w:rsid w:val="00BC301D"/>
    <w:rsid w:val="00BF6B23"/>
    <w:rsid w:val="00C023A0"/>
    <w:rsid w:val="00C03AAD"/>
    <w:rsid w:val="00CE3345"/>
    <w:rsid w:val="00D9799C"/>
    <w:rsid w:val="00DE3BF9"/>
    <w:rsid w:val="00DE588F"/>
    <w:rsid w:val="00E31330"/>
    <w:rsid w:val="00EB6663"/>
    <w:rsid w:val="00EC0B8E"/>
    <w:rsid w:val="00ED60EA"/>
    <w:rsid w:val="00F3715E"/>
    <w:rsid w:val="00F522B6"/>
    <w:rsid w:val="00F73808"/>
    <w:rsid w:val="00F81A49"/>
    <w:rsid w:val="00FD0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A752"/>
  <w15:docId w15:val="{FA15E465-905F-4FAE-A0F4-EA692EC5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2B6"/>
    <w:pPr>
      <w:jc w:val="both"/>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A4"/>
    <w:rPr>
      <w:rFonts w:ascii="Tahoma" w:hAnsi="Tahoma" w:cs="Tahoma"/>
      <w:sz w:val="16"/>
      <w:szCs w:val="16"/>
    </w:rPr>
  </w:style>
  <w:style w:type="character" w:styleId="CommentReference">
    <w:name w:val="annotation reference"/>
    <w:basedOn w:val="DefaultParagraphFont"/>
    <w:uiPriority w:val="99"/>
    <w:semiHidden/>
    <w:unhideWhenUsed/>
    <w:rsid w:val="002976C5"/>
    <w:rPr>
      <w:sz w:val="16"/>
      <w:szCs w:val="16"/>
    </w:rPr>
  </w:style>
  <w:style w:type="paragraph" w:styleId="CommentText">
    <w:name w:val="annotation text"/>
    <w:basedOn w:val="Normal"/>
    <w:link w:val="CommentTextChar"/>
    <w:uiPriority w:val="99"/>
    <w:semiHidden/>
    <w:unhideWhenUsed/>
    <w:rsid w:val="002976C5"/>
    <w:pPr>
      <w:spacing w:line="240" w:lineRule="auto"/>
    </w:pPr>
    <w:rPr>
      <w:sz w:val="20"/>
      <w:szCs w:val="20"/>
    </w:rPr>
  </w:style>
  <w:style w:type="character" w:customStyle="1" w:styleId="CommentTextChar">
    <w:name w:val="Comment Text Char"/>
    <w:basedOn w:val="DefaultParagraphFont"/>
    <w:link w:val="CommentText"/>
    <w:uiPriority w:val="99"/>
    <w:semiHidden/>
    <w:rsid w:val="002976C5"/>
    <w:rPr>
      <w:sz w:val="20"/>
      <w:szCs w:val="20"/>
    </w:rPr>
  </w:style>
  <w:style w:type="paragraph" w:styleId="CommentSubject">
    <w:name w:val="annotation subject"/>
    <w:basedOn w:val="CommentText"/>
    <w:next w:val="CommentText"/>
    <w:link w:val="CommentSubjectChar"/>
    <w:uiPriority w:val="99"/>
    <w:semiHidden/>
    <w:unhideWhenUsed/>
    <w:rsid w:val="002976C5"/>
    <w:rPr>
      <w:b/>
      <w:bCs/>
    </w:rPr>
  </w:style>
  <w:style w:type="character" w:customStyle="1" w:styleId="CommentSubjectChar">
    <w:name w:val="Comment Subject Char"/>
    <w:basedOn w:val="CommentTextChar"/>
    <w:link w:val="CommentSubject"/>
    <w:uiPriority w:val="99"/>
    <w:semiHidden/>
    <w:rsid w:val="002976C5"/>
    <w:rPr>
      <w:b/>
      <w:bCs/>
      <w:sz w:val="20"/>
      <w:szCs w:val="20"/>
    </w:rPr>
  </w:style>
  <w:style w:type="paragraph" w:styleId="Header">
    <w:name w:val="header"/>
    <w:basedOn w:val="Normal"/>
    <w:link w:val="HeaderChar"/>
    <w:uiPriority w:val="99"/>
    <w:unhideWhenUsed/>
    <w:rsid w:val="0076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D43"/>
  </w:style>
  <w:style w:type="paragraph" w:styleId="Footer">
    <w:name w:val="footer"/>
    <w:basedOn w:val="Normal"/>
    <w:link w:val="FooterChar"/>
    <w:uiPriority w:val="99"/>
    <w:unhideWhenUsed/>
    <w:rsid w:val="0076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43"/>
  </w:style>
  <w:style w:type="paragraph" w:styleId="BodyTextIndent2">
    <w:name w:val="Body Text Indent 2"/>
    <w:basedOn w:val="Normal"/>
    <w:link w:val="BodyTextIndent2Char"/>
    <w:rsid w:val="00974A4C"/>
    <w:pPr>
      <w:spacing w:after="0" w:line="240" w:lineRule="auto"/>
      <w:ind w:left="1440"/>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974A4C"/>
    <w:rPr>
      <w:rFonts w:ascii="Arial" w:eastAsia="Times New Roman" w:hAnsi="Arial" w:cs="Times New Roman"/>
      <w:sz w:val="20"/>
      <w:szCs w:val="20"/>
      <w:lang w:val="en-US"/>
    </w:rPr>
  </w:style>
  <w:style w:type="paragraph" w:styleId="Title">
    <w:name w:val="Title"/>
    <w:basedOn w:val="BodyTextIndent2"/>
    <w:next w:val="Normal"/>
    <w:link w:val="TitleChar"/>
    <w:uiPriority w:val="10"/>
    <w:qFormat/>
    <w:rsid w:val="00F522B6"/>
    <w:pPr>
      <w:ind w:left="0"/>
      <w:jc w:val="center"/>
    </w:pPr>
    <w:rPr>
      <w:rFonts w:cs="Arial"/>
      <w:b/>
      <w:color w:val="000000"/>
      <w:spacing w:val="20"/>
      <w:sz w:val="24"/>
      <w:szCs w:val="24"/>
      <w:lang w:val="en"/>
    </w:rPr>
  </w:style>
  <w:style w:type="character" w:customStyle="1" w:styleId="TitleChar">
    <w:name w:val="Title Char"/>
    <w:basedOn w:val="DefaultParagraphFont"/>
    <w:link w:val="Title"/>
    <w:uiPriority w:val="10"/>
    <w:rsid w:val="00F522B6"/>
    <w:rPr>
      <w:rFonts w:ascii="Arial" w:eastAsia="Times New Roman" w:hAnsi="Arial" w:cs="Arial"/>
      <w:b/>
      <w:color w:val="000000"/>
      <w:spacing w:val="20"/>
      <w:sz w:val="24"/>
      <w:szCs w:val="24"/>
      <w:lang w:val="en"/>
    </w:rPr>
  </w:style>
  <w:style w:type="character" w:customStyle="1" w:styleId="Heading1Char">
    <w:name w:val="Heading 1 Char"/>
    <w:basedOn w:val="DefaultParagraphFont"/>
    <w:link w:val="Heading1"/>
    <w:uiPriority w:val="9"/>
    <w:rsid w:val="00F522B6"/>
    <w:rPr>
      <w:rFonts w:ascii="Arial" w:hAnsi="Arial" w:cs="Arial"/>
      <w:b/>
      <w:sz w:val="24"/>
      <w:szCs w:val="24"/>
    </w:rPr>
  </w:style>
  <w:style w:type="paragraph" w:styleId="ListParagraph">
    <w:name w:val="List Paragraph"/>
    <w:basedOn w:val="Normal"/>
    <w:uiPriority w:val="34"/>
    <w:qFormat/>
    <w:rsid w:val="00F3715E"/>
    <w:pPr>
      <w:ind w:left="720"/>
      <w:contextualSpacing/>
    </w:pPr>
  </w:style>
  <w:style w:type="paragraph" w:styleId="BodyTextIndent">
    <w:name w:val="Body Text Indent"/>
    <w:basedOn w:val="Normal"/>
    <w:link w:val="BodyTextIndentChar"/>
    <w:uiPriority w:val="99"/>
    <w:semiHidden/>
    <w:unhideWhenUsed/>
    <w:rsid w:val="00F81A49"/>
    <w:pPr>
      <w:spacing w:after="120"/>
      <w:ind w:left="283"/>
    </w:pPr>
  </w:style>
  <w:style w:type="character" w:customStyle="1" w:styleId="BodyTextIndentChar">
    <w:name w:val="Body Text Indent Char"/>
    <w:basedOn w:val="DefaultParagraphFont"/>
    <w:link w:val="BodyTextIndent"/>
    <w:uiPriority w:val="99"/>
    <w:semiHidden/>
    <w:rsid w:val="00F81A49"/>
  </w:style>
  <w:style w:type="character" w:styleId="Hyperlink">
    <w:name w:val="Hyperlink"/>
    <w:basedOn w:val="DefaultParagraphFont"/>
    <w:uiPriority w:val="99"/>
    <w:unhideWhenUsed/>
    <w:rsid w:val="001E00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5980">
      <w:bodyDiv w:val="1"/>
      <w:marLeft w:val="0"/>
      <w:marRight w:val="0"/>
      <w:marTop w:val="0"/>
      <w:marBottom w:val="0"/>
      <w:divBdr>
        <w:top w:val="none" w:sz="0" w:space="0" w:color="auto"/>
        <w:left w:val="none" w:sz="0" w:space="0" w:color="auto"/>
        <w:bottom w:val="none" w:sz="0" w:space="0" w:color="auto"/>
        <w:right w:val="none" w:sz="0" w:space="0" w:color="auto"/>
      </w:divBdr>
    </w:div>
    <w:div w:id="19807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1748.05C8AA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B.Registrar@ontario.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1180</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Combined Proceedings Practice Direction English</vt:lpstr>
    </vt:vector>
  </TitlesOfParts>
  <Company>MGS</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Proceedings Practice Direction English</dc:title>
  <dc:creator>Cowan, Benson (MAG)</dc:creator>
  <cp:lastModifiedBy>Kappel, Alex (MAG)</cp:lastModifiedBy>
  <cp:revision>6</cp:revision>
  <cp:lastPrinted>2015-09-14T18:45:00Z</cp:lastPrinted>
  <dcterms:created xsi:type="dcterms:W3CDTF">2021-03-25T20:11:00Z</dcterms:created>
  <dcterms:modified xsi:type="dcterms:W3CDTF">2023-03-23T18:30:00Z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2023-03-17T19:03:16Z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696cb970-046a-48cb-a65e-dcc114960c53</vt:lpwstr>
  </property>
  <property fmtid="{D5CDD505-2E9C-101B-9397-08002B2CF9AE}" pid="8" name="MSIP_Label_034a106e-6316-442c-ad35-738afd673d2b_ContentBits">
    <vt:lpwstr>0</vt:lpwstr>
  </property>
</Properties>
</file>